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DA2" w:rsidRDefault="000B5549" w:rsidP="001D088B">
      <w:pPr>
        <w:pStyle w:val="Title"/>
      </w:pPr>
      <w:r>
        <w:t>The Academic Senate Purview</w:t>
      </w:r>
    </w:p>
    <w:p w:rsidR="000B5549" w:rsidRDefault="004A1078" w:rsidP="001D088B">
      <w:pPr>
        <w:pStyle w:val="Heading1"/>
      </w:pPr>
      <w:r>
        <w:t>Brief history</w:t>
      </w:r>
    </w:p>
    <w:p w:rsidR="004A1078" w:rsidRDefault="004A1078" w:rsidP="004A107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1963 Assembly Concurrent Resolution established legal recognition of local senates and jurisdiction over academic and professional matters</w:t>
      </w:r>
    </w:p>
    <w:p w:rsidR="004A1078" w:rsidRDefault="004A1078" w:rsidP="004A107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1967 legislation created the Board of Governors and the Chancellor’s Office for the California Community Colleges</w:t>
      </w:r>
    </w:p>
    <w:p w:rsidR="004A1078" w:rsidRDefault="004A1078" w:rsidP="004A107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1968 first statewide meeting and constitution ratified statewide and approved by the Board of Governors in 1969</w:t>
      </w:r>
    </w:p>
    <w:p w:rsidR="004A1078" w:rsidRDefault="00A730D1" w:rsidP="001D088B">
      <w:pPr>
        <w:pStyle w:val="Heading1"/>
      </w:pPr>
      <w:r>
        <w:t xml:space="preserve">The Community College Reform Act (AB 1725, </w:t>
      </w:r>
      <w:proofErr w:type="spellStart"/>
      <w:r>
        <w:t>Vasconcellos</w:t>
      </w:r>
      <w:proofErr w:type="spellEnd"/>
      <w:r>
        <w:t>, 1988)</w:t>
      </w:r>
    </w:p>
    <w:p w:rsidR="00C3548F" w:rsidRDefault="00C3548F" w:rsidP="00A730D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NOTE:</w:t>
      </w:r>
      <w:r w:rsidR="00145896">
        <w:rPr>
          <w:rFonts w:ascii="Times New Roman" w:hAnsi="Times New Roman" w:cs="Times New Roman"/>
          <w:sz w:val="24"/>
          <w:szCs w:val="24"/>
        </w:rPr>
        <w:t xml:space="preserve"> AB represents the bill’s origin</w:t>
      </w:r>
    </w:p>
    <w:p w:rsidR="00C3548F" w:rsidRDefault="00C3548F" w:rsidP="00C354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AB—Assembly Bill</w:t>
      </w:r>
    </w:p>
    <w:p w:rsidR="00C3548F" w:rsidRDefault="00C3548F" w:rsidP="00C354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SB—Senate Bill</w:t>
      </w:r>
    </w:p>
    <w:p w:rsidR="00A730D1" w:rsidRDefault="00A730D1" w:rsidP="00A730D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Uncoupled community colleges from K-12</w:t>
      </w:r>
    </w:p>
    <w:p w:rsidR="00A730D1" w:rsidRDefault="00A730D1" w:rsidP="00A730D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Created pre- and post-tenure reviews, lengthened the tenure period, </w:t>
      </w:r>
      <w:r w:rsidR="00DE611D">
        <w:rPr>
          <w:rFonts w:ascii="Times New Roman" w:hAnsi="Times New Roman" w:cs="Times New Roman"/>
          <w:sz w:val="24"/>
          <w:szCs w:val="24"/>
        </w:rPr>
        <w:t xml:space="preserve">established idea of min </w:t>
      </w:r>
      <w:proofErr w:type="spellStart"/>
      <w:r w:rsidR="00DE611D">
        <w:rPr>
          <w:rFonts w:ascii="Times New Roman" w:hAnsi="Times New Roman" w:cs="Times New Roman"/>
          <w:sz w:val="24"/>
          <w:szCs w:val="24"/>
        </w:rPr>
        <w:t>quals</w:t>
      </w:r>
      <w:proofErr w:type="spellEnd"/>
      <w:r w:rsidR="00DE611D">
        <w:rPr>
          <w:rFonts w:ascii="Times New Roman" w:hAnsi="Times New Roman" w:cs="Times New Roman"/>
          <w:sz w:val="24"/>
          <w:szCs w:val="24"/>
        </w:rPr>
        <w:t xml:space="preserve"> </w:t>
      </w:r>
      <w:r>
        <w:rPr>
          <w:rFonts w:ascii="Times New Roman" w:hAnsi="Times New Roman" w:cs="Times New Roman"/>
          <w:sz w:val="24"/>
          <w:szCs w:val="24"/>
        </w:rPr>
        <w:t>and</w:t>
      </w:r>
    </w:p>
    <w:p w:rsidR="00A730D1" w:rsidRDefault="00A730D1" w:rsidP="00A730D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Strengthened role of local academic senates</w:t>
      </w:r>
    </w:p>
    <w:p w:rsidR="00A730D1" w:rsidRPr="0055738A" w:rsidRDefault="00A730D1" w:rsidP="00A730D1">
      <w:pPr>
        <w:pStyle w:val="ListParagraph"/>
        <w:numPr>
          <w:ilvl w:val="1"/>
          <w:numId w:val="1"/>
        </w:numPr>
        <w:rPr>
          <w:rFonts w:ascii="Times New Roman" w:hAnsi="Times New Roman" w:cs="Times New Roman"/>
          <w:color w:val="CC0000"/>
          <w:sz w:val="24"/>
          <w:szCs w:val="24"/>
        </w:rPr>
      </w:pPr>
      <w:r w:rsidRPr="0055738A">
        <w:rPr>
          <w:rFonts w:ascii="Times New Roman" w:hAnsi="Times New Roman" w:cs="Times New Roman"/>
          <w:color w:val="CC0000"/>
          <w:sz w:val="24"/>
          <w:szCs w:val="24"/>
        </w:rPr>
        <w:sym w:font="Wingdings" w:char="F0E0"/>
      </w:r>
      <w:r w:rsidRPr="0055738A">
        <w:rPr>
          <w:rFonts w:ascii="Times New Roman" w:hAnsi="Times New Roman" w:cs="Times New Roman"/>
          <w:color w:val="CC0000"/>
          <w:sz w:val="24"/>
          <w:szCs w:val="24"/>
        </w:rPr>
        <w:t xml:space="preserve">aspirational </w:t>
      </w:r>
      <w:r w:rsidR="001709F1" w:rsidRPr="0055738A">
        <w:rPr>
          <w:rFonts w:ascii="Times New Roman" w:hAnsi="Times New Roman" w:cs="Times New Roman"/>
          <w:color w:val="CC0000"/>
          <w:sz w:val="24"/>
          <w:szCs w:val="24"/>
        </w:rPr>
        <w:t>–pretty much created the community colleges of today</w:t>
      </w:r>
      <w:r w:rsidR="009B64B2" w:rsidRPr="0055738A">
        <w:rPr>
          <w:rFonts w:ascii="Times New Roman" w:hAnsi="Times New Roman" w:cs="Times New Roman"/>
          <w:color w:val="CC0000"/>
          <w:sz w:val="24"/>
          <w:szCs w:val="24"/>
        </w:rPr>
        <w:t xml:space="preserve"> (was…now)</w:t>
      </w:r>
    </w:p>
    <w:p w:rsidR="001709F1" w:rsidRDefault="00E5045C" w:rsidP="001709F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t>
      </w:r>
      <w:r w:rsidR="001709F1">
        <w:rPr>
          <w:rFonts w:ascii="Times New Roman" w:hAnsi="Times New Roman" w:cs="Times New Roman"/>
          <w:sz w:val="24"/>
          <w:szCs w:val="24"/>
        </w:rPr>
        <w:t>The Legislature is committed to an alternative vision in which California remains a place of opportunity and hope – where innovation and creativity mark our economy and our culture, and where the minds and spirits of all our communities contribute t</w:t>
      </w:r>
      <w:r w:rsidR="00892947">
        <w:rPr>
          <w:rFonts w:ascii="Times New Roman" w:hAnsi="Times New Roman" w:cs="Times New Roman"/>
          <w:sz w:val="24"/>
          <w:szCs w:val="24"/>
        </w:rPr>
        <w:t xml:space="preserve">o </w:t>
      </w:r>
      <w:r w:rsidR="001709F1">
        <w:rPr>
          <w:rFonts w:ascii="Times New Roman" w:hAnsi="Times New Roman" w:cs="Times New Roman"/>
          <w:sz w:val="24"/>
          <w:szCs w:val="24"/>
        </w:rPr>
        <w:t>our common future.  The community colleges will be at the heart of whatever effort we make to insure that the future is equitable and open, that California’s economy remains healthy and growing, and that both rural towns and rapidly expanding urban centers have educational resources close at hand…”</w:t>
      </w:r>
    </w:p>
    <w:p w:rsidR="00B9226E" w:rsidRDefault="00B9226E" w:rsidP="001709F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provision of quality transfer education is a primary mission of the community colleges”</w:t>
      </w:r>
    </w:p>
    <w:p w:rsidR="00B9226E" w:rsidRDefault="00B9226E" w:rsidP="001709F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“Vocational and technical education is a primary mission of the California Community Colleges, and programs of study leading to employment meet the needs of both students and society.”</w:t>
      </w:r>
    </w:p>
    <w:p w:rsidR="00414B63" w:rsidRDefault="00414B63" w:rsidP="001709F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ESL, adult </w:t>
      </w:r>
      <w:r w:rsidR="00FC5136">
        <w:rPr>
          <w:rFonts w:ascii="Times New Roman" w:hAnsi="Times New Roman" w:cs="Times New Roman"/>
          <w:sz w:val="24"/>
          <w:szCs w:val="24"/>
        </w:rPr>
        <w:t>literacy and basic skills</w:t>
      </w:r>
      <w:r>
        <w:rPr>
          <w:rFonts w:ascii="Times New Roman" w:hAnsi="Times New Roman" w:cs="Times New Roman"/>
          <w:sz w:val="24"/>
          <w:szCs w:val="24"/>
        </w:rPr>
        <w:t>, non-credit</w:t>
      </w:r>
      <w:r w:rsidR="00E905D2">
        <w:rPr>
          <w:rFonts w:ascii="Times New Roman" w:hAnsi="Times New Roman" w:cs="Times New Roman"/>
          <w:sz w:val="24"/>
          <w:szCs w:val="24"/>
        </w:rPr>
        <w:t xml:space="preserve"> adult education, </w:t>
      </w:r>
      <w:r w:rsidR="00333C65">
        <w:rPr>
          <w:rFonts w:ascii="Times New Roman" w:hAnsi="Times New Roman" w:cs="Times New Roman"/>
          <w:sz w:val="24"/>
          <w:szCs w:val="24"/>
        </w:rPr>
        <w:t>faculty diversity</w:t>
      </w:r>
      <w:r w:rsidR="00045A3B">
        <w:rPr>
          <w:rFonts w:ascii="Times New Roman" w:hAnsi="Times New Roman" w:cs="Times New Roman"/>
          <w:sz w:val="24"/>
          <w:szCs w:val="24"/>
        </w:rPr>
        <w:t>, associate degrees</w:t>
      </w:r>
    </w:p>
    <w:p w:rsidR="00A21C9B" w:rsidRDefault="00A21C9B" w:rsidP="001709F1">
      <w:pPr>
        <w:pStyle w:val="ListParagraph"/>
        <w:numPr>
          <w:ilvl w:val="2"/>
          <w:numId w:val="1"/>
        </w:numPr>
        <w:rPr>
          <w:rFonts w:ascii="Times New Roman" w:hAnsi="Times New Roman" w:cs="Times New Roman"/>
          <w:sz w:val="24"/>
          <w:szCs w:val="24"/>
        </w:rPr>
      </w:pPr>
      <w:r w:rsidRPr="00A21C9B">
        <w:rPr>
          <w:rFonts w:ascii="Times New Roman" w:hAnsi="Times New Roman" w:cs="Times New Roman"/>
          <w:sz w:val="24"/>
          <w:szCs w:val="24"/>
        </w:rPr>
        <w:sym w:font="Wingdings" w:char="F0E0"/>
      </w:r>
      <w:r>
        <w:rPr>
          <w:rFonts w:ascii="Times New Roman" w:hAnsi="Times New Roman" w:cs="Times New Roman"/>
          <w:sz w:val="24"/>
          <w:szCs w:val="24"/>
        </w:rPr>
        <w:t>changing California landscape</w:t>
      </w:r>
      <w:r w:rsidR="00A06042">
        <w:rPr>
          <w:rFonts w:ascii="Times New Roman" w:hAnsi="Times New Roman" w:cs="Times New Roman"/>
          <w:sz w:val="24"/>
          <w:szCs w:val="24"/>
        </w:rPr>
        <w:t xml:space="preserve"> &amp; want to lift everybody up</w:t>
      </w:r>
    </w:p>
    <w:p w:rsidR="00BF4C79" w:rsidRDefault="00DF03EA" w:rsidP="001D088B">
      <w:pPr>
        <w:pStyle w:val="Heading1"/>
      </w:pPr>
      <w:r>
        <w:t>Education Code</w:t>
      </w:r>
      <w:r w:rsidR="00C30CFB">
        <w:t xml:space="preserve">—Law </w:t>
      </w:r>
    </w:p>
    <w:p w:rsidR="00DF03EA" w:rsidRDefault="00DF03EA" w:rsidP="00DF03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Legislation related to education is “chaptered” into the California Education Code</w:t>
      </w:r>
    </w:p>
    <w:p w:rsidR="00DF03EA" w:rsidRDefault="00DF03EA" w:rsidP="00DF03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Changes as new legislation is passed</w:t>
      </w:r>
    </w:p>
    <w:p w:rsidR="00DF03EA" w:rsidRDefault="00DF03EA" w:rsidP="001D088B">
      <w:pPr>
        <w:pStyle w:val="Heading1"/>
      </w:pPr>
      <w:r>
        <w:t>Title 5</w:t>
      </w:r>
      <w:r w:rsidR="00C30CFB">
        <w:t>—Rules and regulations</w:t>
      </w:r>
    </w:p>
    <w:p w:rsidR="00DF03EA" w:rsidRDefault="00DF03EA" w:rsidP="00DF03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CCC Board of Governors codifies the rules for the implementation of Education Code in Title 5</w:t>
      </w:r>
    </w:p>
    <w:p w:rsidR="00DF03EA" w:rsidRDefault="00DF03EA" w:rsidP="00DF03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Regulations have the force of law</w:t>
      </w:r>
    </w:p>
    <w:p w:rsidR="00DF03EA" w:rsidRDefault="000077EC" w:rsidP="00DF03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Community College material largely in Division 6: Community Colleges</w:t>
      </w:r>
    </w:p>
    <w:p w:rsidR="000077EC" w:rsidRDefault="000077EC" w:rsidP="00DF03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May be changed by the Board of Governors</w:t>
      </w:r>
    </w:p>
    <w:p w:rsidR="00274856" w:rsidRDefault="00274856" w:rsidP="00DF03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Title 5: Education</w:t>
      </w:r>
      <w:r w:rsidRPr="00274856">
        <w:rPr>
          <w:rFonts w:ascii="Times New Roman" w:hAnsi="Times New Roman" w:cs="Times New Roman"/>
          <w:sz w:val="24"/>
          <w:szCs w:val="24"/>
        </w:rPr>
        <w:sym w:font="Wingdings" w:char="F0E0"/>
      </w:r>
      <w:r>
        <w:rPr>
          <w:rFonts w:ascii="Times New Roman" w:hAnsi="Times New Roman" w:cs="Times New Roman"/>
          <w:sz w:val="24"/>
          <w:szCs w:val="24"/>
        </w:rPr>
        <w:t>Division 6: California Community Colleges</w:t>
      </w:r>
      <w:r w:rsidRPr="00274856">
        <w:rPr>
          <w:rFonts w:ascii="Times New Roman" w:hAnsi="Times New Roman" w:cs="Times New Roman"/>
          <w:sz w:val="24"/>
          <w:szCs w:val="24"/>
        </w:rPr>
        <w:sym w:font="Wingdings" w:char="F0E0"/>
      </w:r>
      <w:r>
        <w:rPr>
          <w:rFonts w:ascii="Times New Roman" w:hAnsi="Times New Roman" w:cs="Times New Roman"/>
          <w:sz w:val="24"/>
          <w:szCs w:val="24"/>
        </w:rPr>
        <w:t>Chapter 4: Employees</w:t>
      </w:r>
      <w:r w:rsidRPr="00274856">
        <w:rPr>
          <w:rFonts w:ascii="Times New Roman" w:hAnsi="Times New Roman" w:cs="Times New Roman"/>
          <w:sz w:val="24"/>
          <w:szCs w:val="24"/>
        </w:rPr>
        <w:sym w:font="Wingdings" w:char="F0E0"/>
      </w:r>
      <w:r>
        <w:rPr>
          <w:rFonts w:ascii="Times New Roman" w:hAnsi="Times New Roman" w:cs="Times New Roman"/>
          <w:sz w:val="24"/>
          <w:szCs w:val="24"/>
        </w:rPr>
        <w:t>Subchapter 2:Certificated Positions</w:t>
      </w:r>
      <w:r w:rsidRPr="00274856">
        <w:rPr>
          <w:rFonts w:ascii="Times New Roman" w:hAnsi="Times New Roman" w:cs="Times New Roman"/>
          <w:sz w:val="24"/>
          <w:szCs w:val="24"/>
        </w:rPr>
        <w:sym w:font="Wingdings" w:char="F0E0"/>
      </w:r>
      <w:r>
        <w:rPr>
          <w:rFonts w:ascii="Times New Roman" w:hAnsi="Times New Roman" w:cs="Times New Roman"/>
          <w:sz w:val="24"/>
          <w:szCs w:val="24"/>
        </w:rPr>
        <w:t>Article 2: Academic Senates</w:t>
      </w:r>
    </w:p>
    <w:p w:rsidR="00870AD2" w:rsidRDefault="00184CAA" w:rsidP="001D088B">
      <w:pPr>
        <w:pStyle w:val="Heading1"/>
      </w:pPr>
      <w:hyperlink r:id="rId5" w:history="1">
        <w:r w:rsidR="003710EE" w:rsidRPr="00184CAA">
          <w:rPr>
            <w:rStyle w:val="Hyperlink"/>
          </w:rPr>
          <w:t xml:space="preserve">Title 5 </w:t>
        </w:r>
        <w:r w:rsidR="00870AD2" w:rsidRPr="00184CAA">
          <w:rPr>
            <w:rStyle w:val="Hyperlink"/>
          </w:rPr>
          <w:t>§53200. Definitions</w:t>
        </w:r>
      </w:hyperlink>
      <w:bookmarkStart w:id="0" w:name="_GoBack"/>
      <w:bookmarkEnd w:id="0"/>
    </w:p>
    <w:p w:rsidR="00870AD2" w:rsidRDefault="00870AD2" w:rsidP="003710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“Academic senate,” “faculty council” and “faculty senate” means an organization formed in accordance with the provisions of this Subchapter whose primary function, as the representative of the faculty,</w:t>
      </w:r>
    </w:p>
    <w:p w:rsidR="00870AD2" w:rsidRDefault="00870AD2" w:rsidP="003710EE">
      <w:pPr>
        <w:pStyle w:val="ListParagraph"/>
        <w:numPr>
          <w:ilvl w:val="2"/>
          <w:numId w:val="1"/>
        </w:numPr>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make recommendations to the administration of a college and to the governing board of a district with respect to academic and professional matters.</w:t>
      </w:r>
    </w:p>
    <w:p w:rsidR="003710EE" w:rsidRPr="00B950A1" w:rsidRDefault="003710EE" w:rsidP="003710EE">
      <w:pPr>
        <w:pStyle w:val="ListParagraph"/>
        <w:numPr>
          <w:ilvl w:val="1"/>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“Academic and professional matters” means the following policy development and implementation matters:</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Curriculum, including establishing prerequisites and placing courses within disciplines;</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Degree and certificate requirements;</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Grading policies;</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Educational program development;</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Standards or policies regarding student preparation and success;</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District and college governance structures, as related to faculty roles</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Faculty roles and involvement in accreditation processes, including self-study and annual reports</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Policies for faculty professional development activities</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Process for program review</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Processes for institutional planning and budget development, and</w:t>
      </w:r>
    </w:p>
    <w:p w:rsidR="003710EE" w:rsidRPr="00B950A1" w:rsidRDefault="003710EE" w:rsidP="003710EE">
      <w:pPr>
        <w:pStyle w:val="ListParagraph"/>
        <w:numPr>
          <w:ilvl w:val="2"/>
          <w:numId w:val="1"/>
        </w:numPr>
        <w:rPr>
          <w:rFonts w:ascii="Times New Roman" w:hAnsi="Times New Roman" w:cs="Times New Roman"/>
          <w:color w:val="0070C0"/>
          <w:sz w:val="24"/>
          <w:szCs w:val="24"/>
        </w:rPr>
      </w:pPr>
      <w:r w:rsidRPr="00B950A1">
        <w:rPr>
          <w:rFonts w:ascii="Times New Roman" w:hAnsi="Times New Roman" w:cs="Times New Roman"/>
          <w:color w:val="0070C0"/>
          <w:sz w:val="24"/>
          <w:szCs w:val="24"/>
        </w:rPr>
        <w:t>Other academic and professional matters as are mutually agreed upon between the governing board and the academic senate</w:t>
      </w:r>
    </w:p>
    <w:p w:rsidR="00C44C57" w:rsidRPr="00492D59" w:rsidRDefault="00C44C57" w:rsidP="00C44C57">
      <w:pPr>
        <w:pStyle w:val="ListParagraph"/>
        <w:numPr>
          <w:ilvl w:val="1"/>
          <w:numId w:val="1"/>
        </w:numPr>
        <w:rPr>
          <w:rFonts w:ascii="Times New Roman" w:hAnsi="Times New Roman" w:cs="Times New Roman"/>
          <w:color w:val="FF0000"/>
          <w:sz w:val="24"/>
          <w:szCs w:val="24"/>
        </w:rPr>
      </w:pPr>
      <w:r w:rsidRPr="00E41E1A">
        <w:rPr>
          <w:rFonts w:ascii="Times New Roman" w:hAnsi="Times New Roman" w:cs="Times New Roman"/>
          <w:color w:val="CC0000"/>
          <w:sz w:val="24"/>
          <w:szCs w:val="24"/>
        </w:rPr>
        <w:sym w:font="Wingdings" w:char="F0E0"/>
      </w:r>
      <w:r w:rsidRPr="00E41E1A">
        <w:rPr>
          <w:rFonts w:ascii="Times New Roman" w:hAnsi="Times New Roman" w:cs="Times New Roman"/>
          <w:color w:val="CC0000"/>
          <w:sz w:val="24"/>
          <w:szCs w:val="24"/>
        </w:rPr>
        <w:t xml:space="preserve">commonly referred to as the </w:t>
      </w:r>
      <w:r w:rsidRPr="003F417F">
        <w:rPr>
          <w:rFonts w:ascii="Times New Roman" w:hAnsi="Times New Roman" w:cs="Times New Roman"/>
          <w:color w:val="0070C0"/>
          <w:sz w:val="24"/>
          <w:szCs w:val="24"/>
        </w:rPr>
        <w:t>“10+1”</w:t>
      </w:r>
    </w:p>
    <w:p w:rsidR="00C44C57" w:rsidRDefault="00C44C57" w:rsidP="00C44C57">
      <w:pPr>
        <w:pStyle w:val="ListParagraph"/>
        <w:numPr>
          <w:ilvl w:val="1"/>
          <w:numId w:val="1"/>
        </w:numPr>
        <w:rPr>
          <w:rFonts w:ascii="Times New Roman" w:hAnsi="Times New Roman" w:cs="Times New Roman"/>
          <w:sz w:val="24"/>
          <w:szCs w:val="24"/>
        </w:rPr>
      </w:pPr>
      <w:r w:rsidRPr="00E41E1A">
        <w:rPr>
          <w:rFonts w:ascii="Times New Roman" w:hAnsi="Times New Roman" w:cs="Times New Roman"/>
          <w:color w:val="CC0000"/>
          <w:sz w:val="24"/>
          <w:szCs w:val="24"/>
        </w:rPr>
        <w:t xml:space="preserve">“Consult collegially” </w:t>
      </w:r>
      <w:r>
        <w:rPr>
          <w:rFonts w:ascii="Times New Roman" w:hAnsi="Times New Roman" w:cs="Times New Roman"/>
          <w:sz w:val="24"/>
          <w:szCs w:val="24"/>
        </w:rPr>
        <w:t>means that the district governing board shall develop policies on academic and professional matters through either or both of the following methods, according to its own discretion:</w:t>
      </w:r>
    </w:p>
    <w:p w:rsidR="00C44C57" w:rsidRDefault="00C44C57" w:rsidP="00C44C57">
      <w:pPr>
        <w:pStyle w:val="ListParagraph"/>
        <w:numPr>
          <w:ilvl w:val="2"/>
          <w:numId w:val="1"/>
        </w:numPr>
        <w:rPr>
          <w:rFonts w:ascii="Times New Roman" w:hAnsi="Times New Roman" w:cs="Times New Roman"/>
          <w:sz w:val="24"/>
          <w:szCs w:val="24"/>
        </w:rPr>
      </w:pPr>
      <w:r w:rsidRPr="00E41E1A">
        <w:rPr>
          <w:rFonts w:ascii="Times New Roman" w:hAnsi="Times New Roman" w:cs="Times New Roman"/>
          <w:color w:val="CC0000"/>
          <w:sz w:val="24"/>
          <w:szCs w:val="24"/>
        </w:rPr>
        <w:t xml:space="preserve">Relying primarily </w:t>
      </w:r>
      <w:r>
        <w:rPr>
          <w:rFonts w:ascii="Times New Roman" w:hAnsi="Times New Roman" w:cs="Times New Roman"/>
          <w:sz w:val="24"/>
          <w:szCs w:val="24"/>
        </w:rPr>
        <w:t>upon the advice and judgement of the academic senate; or</w:t>
      </w:r>
    </w:p>
    <w:p w:rsidR="00C44C57" w:rsidRDefault="00C44C57" w:rsidP="00C44C5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Agreeing that the district governing board, or such representatives as it may designate, and the representatives of the academic senate shall have the obligation to reach </w:t>
      </w:r>
      <w:r w:rsidRPr="00E41E1A">
        <w:rPr>
          <w:rFonts w:ascii="Times New Roman" w:hAnsi="Times New Roman" w:cs="Times New Roman"/>
          <w:color w:val="CC0000"/>
          <w:sz w:val="24"/>
          <w:szCs w:val="24"/>
        </w:rPr>
        <w:t xml:space="preserve">mutual agreement </w:t>
      </w:r>
      <w:r>
        <w:rPr>
          <w:rFonts w:ascii="Times New Roman" w:hAnsi="Times New Roman" w:cs="Times New Roman"/>
          <w:sz w:val="24"/>
          <w:szCs w:val="24"/>
        </w:rPr>
        <w:t>by written resolution, regulation, or policy of the governing board effectuating such recommendations</w:t>
      </w:r>
    </w:p>
    <w:p w:rsidR="009C056E" w:rsidRPr="00E41E1A" w:rsidRDefault="009C056E" w:rsidP="009C056E">
      <w:pPr>
        <w:pStyle w:val="ListParagraph"/>
        <w:numPr>
          <w:ilvl w:val="3"/>
          <w:numId w:val="1"/>
        </w:numPr>
        <w:rPr>
          <w:rFonts w:ascii="Times New Roman" w:hAnsi="Times New Roman" w:cs="Times New Roman"/>
          <w:color w:val="CC0000"/>
          <w:sz w:val="24"/>
          <w:szCs w:val="24"/>
        </w:rPr>
      </w:pPr>
      <w:r w:rsidRPr="00E41E1A">
        <w:rPr>
          <w:rFonts w:ascii="Times New Roman" w:hAnsi="Times New Roman" w:cs="Times New Roman"/>
          <w:color w:val="CC0000"/>
          <w:sz w:val="24"/>
          <w:szCs w:val="24"/>
        </w:rPr>
        <w:t>VCCCD is mutual agreement</w:t>
      </w:r>
      <w:r w:rsidR="00EE5643" w:rsidRPr="00E41E1A">
        <w:rPr>
          <w:rFonts w:ascii="Times New Roman" w:hAnsi="Times New Roman" w:cs="Times New Roman"/>
          <w:color w:val="CC0000"/>
          <w:sz w:val="24"/>
          <w:szCs w:val="24"/>
        </w:rPr>
        <w:t xml:space="preserve"> for the 10+1 </w:t>
      </w:r>
      <w:r w:rsidR="00062BDC" w:rsidRPr="00E41E1A">
        <w:rPr>
          <w:rFonts w:ascii="Times New Roman" w:hAnsi="Times New Roman" w:cs="Times New Roman"/>
          <w:color w:val="CC0000"/>
          <w:sz w:val="24"/>
          <w:szCs w:val="24"/>
        </w:rPr>
        <w:t>(Making Decisions Document)</w:t>
      </w:r>
    </w:p>
    <w:p w:rsidR="00062BDC" w:rsidRPr="00E41E1A" w:rsidRDefault="00062BDC" w:rsidP="009C056E">
      <w:pPr>
        <w:pStyle w:val="ListParagraph"/>
        <w:numPr>
          <w:ilvl w:val="3"/>
          <w:numId w:val="1"/>
        </w:numPr>
        <w:rPr>
          <w:rFonts w:ascii="Times New Roman" w:hAnsi="Times New Roman" w:cs="Times New Roman"/>
          <w:color w:val="CC0000"/>
          <w:sz w:val="24"/>
          <w:szCs w:val="24"/>
        </w:rPr>
      </w:pPr>
      <w:r w:rsidRPr="00E41E1A">
        <w:rPr>
          <w:rFonts w:ascii="Times New Roman" w:hAnsi="Times New Roman" w:cs="Times New Roman"/>
          <w:color w:val="CC0000"/>
          <w:sz w:val="24"/>
          <w:szCs w:val="24"/>
        </w:rPr>
        <w:t>Faculty and admin</w:t>
      </w:r>
      <w:r w:rsidR="00553296" w:rsidRPr="00E41E1A">
        <w:rPr>
          <w:rFonts w:ascii="Times New Roman" w:hAnsi="Times New Roman" w:cs="Times New Roman"/>
          <w:color w:val="CC0000"/>
          <w:sz w:val="24"/>
          <w:szCs w:val="24"/>
        </w:rPr>
        <w:t>istrators will work in good fai</w:t>
      </w:r>
      <w:r w:rsidRPr="00E41E1A">
        <w:rPr>
          <w:rFonts w:ascii="Times New Roman" w:hAnsi="Times New Roman" w:cs="Times New Roman"/>
          <w:color w:val="CC0000"/>
          <w:sz w:val="24"/>
          <w:szCs w:val="24"/>
        </w:rPr>
        <w:t>th to reach agreement on academic and professional matters</w:t>
      </w:r>
    </w:p>
    <w:p w:rsidR="00062BDC" w:rsidRPr="00E41E1A" w:rsidRDefault="00062BDC" w:rsidP="009C056E">
      <w:pPr>
        <w:pStyle w:val="ListParagraph"/>
        <w:numPr>
          <w:ilvl w:val="3"/>
          <w:numId w:val="1"/>
        </w:numPr>
        <w:rPr>
          <w:rFonts w:ascii="Times New Roman" w:hAnsi="Times New Roman" w:cs="Times New Roman"/>
          <w:color w:val="CC0000"/>
          <w:sz w:val="24"/>
          <w:szCs w:val="24"/>
        </w:rPr>
      </w:pPr>
      <w:r w:rsidRPr="00E41E1A">
        <w:rPr>
          <w:rFonts w:ascii="Times New Roman" w:hAnsi="Times New Roman" w:cs="Times New Roman"/>
          <w:color w:val="CC0000"/>
          <w:sz w:val="24"/>
          <w:szCs w:val="24"/>
        </w:rPr>
        <w:t>If not, the admin and Board commits its decision will be based on a clear and substantive rationale that puts the explanation for the decision in an accurate, appropriate, and relevant context</w:t>
      </w:r>
      <w:r w:rsidR="00CE621D" w:rsidRPr="00E41E1A">
        <w:rPr>
          <w:rFonts w:ascii="Times New Roman" w:hAnsi="Times New Roman" w:cs="Times New Roman"/>
          <w:color w:val="CC0000"/>
          <w:sz w:val="24"/>
          <w:szCs w:val="24"/>
        </w:rPr>
        <w:t>.  The Academic Senate shall have a reasonable expectation of receiving a written explanation when mutual agreement is not reached.</w:t>
      </w:r>
    </w:p>
    <w:p w:rsidR="0099500A" w:rsidRPr="005612F7" w:rsidRDefault="0099500A" w:rsidP="00C44C57">
      <w:pPr>
        <w:pStyle w:val="ListParagraph"/>
        <w:numPr>
          <w:ilvl w:val="2"/>
          <w:numId w:val="1"/>
        </w:numPr>
        <w:rPr>
          <w:rFonts w:ascii="Times New Roman" w:hAnsi="Times New Roman" w:cs="Times New Roman"/>
          <w:color w:val="FF0000"/>
          <w:sz w:val="24"/>
          <w:szCs w:val="24"/>
        </w:rPr>
      </w:pPr>
      <w:r w:rsidRPr="00E41E1A">
        <w:rPr>
          <w:rFonts w:ascii="Times New Roman" w:hAnsi="Times New Roman" w:cs="Times New Roman"/>
          <w:color w:val="CC0000"/>
          <w:sz w:val="24"/>
          <w:szCs w:val="24"/>
        </w:rPr>
        <w:lastRenderedPageBreak/>
        <w:sym w:font="Wingdings" w:char="F0E0"/>
      </w:r>
      <w:r w:rsidRPr="00E41E1A">
        <w:rPr>
          <w:rFonts w:ascii="Times New Roman" w:hAnsi="Times New Roman" w:cs="Times New Roman"/>
          <w:color w:val="CC0000"/>
          <w:sz w:val="24"/>
          <w:szCs w:val="24"/>
        </w:rPr>
        <w:t xml:space="preserve">commonly referred to as </w:t>
      </w:r>
      <w:r w:rsidRPr="003F417F">
        <w:rPr>
          <w:rFonts w:ascii="Times New Roman" w:hAnsi="Times New Roman" w:cs="Times New Roman"/>
          <w:color w:val="0070C0"/>
          <w:sz w:val="24"/>
          <w:szCs w:val="24"/>
        </w:rPr>
        <w:t>participatory governance</w:t>
      </w:r>
    </w:p>
    <w:p w:rsidR="00EF3B30" w:rsidRDefault="00EF3B30" w:rsidP="001D088B">
      <w:pPr>
        <w:pStyle w:val="Heading1"/>
      </w:pPr>
      <w:r>
        <w:t>Title 5 §53201. Academic Senate or Faculty Council</w:t>
      </w:r>
    </w:p>
    <w:p w:rsidR="00EF3B30" w:rsidRDefault="00EF3B30" w:rsidP="00EF3B3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 order that the faculty may have a formal and effective procedure for participating in the formation and implementation of district policies on academic and professional matters, an academic senate may be established at the college and/or district level</w:t>
      </w:r>
    </w:p>
    <w:p w:rsidR="00EF3B30" w:rsidRPr="00E41E1A" w:rsidRDefault="00EF3B30" w:rsidP="00EF3B30">
      <w:pPr>
        <w:pStyle w:val="ListParagraph"/>
        <w:numPr>
          <w:ilvl w:val="1"/>
          <w:numId w:val="1"/>
        </w:numPr>
        <w:rPr>
          <w:rFonts w:ascii="Times New Roman" w:hAnsi="Times New Roman" w:cs="Times New Roman"/>
          <w:color w:val="CC0000"/>
          <w:sz w:val="24"/>
          <w:szCs w:val="24"/>
        </w:rPr>
      </w:pPr>
      <w:r w:rsidRPr="00E41E1A">
        <w:rPr>
          <w:rFonts w:ascii="Times New Roman" w:hAnsi="Times New Roman" w:cs="Times New Roman"/>
          <w:color w:val="CC0000"/>
          <w:sz w:val="24"/>
          <w:szCs w:val="24"/>
        </w:rPr>
        <w:sym w:font="Wingdings" w:char="F0E0"/>
      </w:r>
      <w:r w:rsidRPr="00E41E1A">
        <w:rPr>
          <w:rFonts w:ascii="Times New Roman" w:hAnsi="Times New Roman" w:cs="Times New Roman"/>
          <w:color w:val="CC0000"/>
          <w:sz w:val="24"/>
          <w:szCs w:val="24"/>
        </w:rPr>
        <w:t>simply put establishes local Academic Senates</w:t>
      </w:r>
      <w:r w:rsidR="002F7F41" w:rsidRPr="00E41E1A">
        <w:rPr>
          <w:rFonts w:ascii="Times New Roman" w:hAnsi="Times New Roman" w:cs="Times New Roman"/>
          <w:color w:val="CC0000"/>
          <w:sz w:val="24"/>
          <w:szCs w:val="24"/>
        </w:rPr>
        <w:t xml:space="preserve"> with purview over “academic and professional matters”</w:t>
      </w:r>
    </w:p>
    <w:p w:rsidR="0099500A" w:rsidRDefault="00FF3EBB" w:rsidP="001D088B">
      <w:pPr>
        <w:pStyle w:val="Heading1"/>
      </w:pPr>
      <w:r>
        <w:t>Title 5 §</w:t>
      </w:r>
      <w:r w:rsidR="0099500A">
        <w:t>53206 Academic Senate for California Community Colleges</w:t>
      </w:r>
    </w:p>
    <w:p w:rsidR="0099500A" w:rsidRPr="0099500A" w:rsidRDefault="0099500A" w:rsidP="0099500A">
      <w:pPr>
        <w:pStyle w:val="ListParagraph"/>
        <w:numPr>
          <w:ilvl w:val="1"/>
          <w:numId w:val="1"/>
        </w:numPr>
        <w:rPr>
          <w:rFonts w:ascii="Times New Roman" w:hAnsi="Times New Roman" w:cs="Times New Roman"/>
          <w:sz w:val="24"/>
          <w:szCs w:val="24"/>
        </w:rPr>
      </w:pPr>
      <w:r w:rsidRPr="0099500A">
        <w:rPr>
          <w:rFonts w:ascii="Times New Roman" w:hAnsi="Times New Roman" w:cs="Times New Roman"/>
          <w:sz w:val="24"/>
          <w:szCs w:val="24"/>
        </w:rPr>
        <w:t xml:space="preserve">An </w:t>
      </w:r>
      <w:r w:rsidRPr="0099500A">
        <w:rPr>
          <w:rFonts w:ascii="Times New Roman" w:eastAsia="Times New Roman" w:hAnsi="Times New Roman" w:cs="Times New Roman"/>
          <w:color w:val="212121"/>
          <w:sz w:val="24"/>
          <w:szCs w:val="24"/>
        </w:rPr>
        <w:t>Academic Senate for the California Community Colleges has been established through ratification by local academic senates or faculty councils so that the community college faculty of California may have a formal and effective procedure for participating in the formation of state policies on academic and professional matters.</w:t>
      </w:r>
    </w:p>
    <w:p w:rsidR="0099500A" w:rsidRPr="00512BCD" w:rsidRDefault="0099500A" w:rsidP="0099500A">
      <w:pPr>
        <w:pStyle w:val="ListParagraph"/>
        <w:numPr>
          <w:ilvl w:val="1"/>
          <w:numId w:val="1"/>
        </w:numPr>
        <w:rPr>
          <w:rFonts w:ascii="Times New Roman" w:hAnsi="Times New Roman" w:cs="Times New Roman"/>
          <w:sz w:val="24"/>
          <w:szCs w:val="24"/>
        </w:rPr>
      </w:pPr>
      <w:r w:rsidRPr="0099500A">
        <w:rPr>
          <w:rFonts w:ascii="Times New Roman" w:eastAsia="Times New Roman" w:hAnsi="Times New Roman" w:cs="Times New Roman"/>
          <w:color w:val="212121"/>
          <w:sz w:val="24"/>
          <w:szCs w:val="24"/>
        </w:rPr>
        <w:t>The Board of Governors recognizes the Academic Senate of the California Community Colleges as the representative of community college academic senates or faculty councils before the Board of Governors and Chancellor's Office.</w:t>
      </w:r>
    </w:p>
    <w:p w:rsidR="00512BCD" w:rsidRDefault="003E4863" w:rsidP="001D088B">
      <w:pPr>
        <w:pStyle w:val="Heading1"/>
      </w:pPr>
      <w:r>
        <w:t>Participatory governance at the college level</w:t>
      </w:r>
    </w:p>
    <w:p w:rsidR="003E4863" w:rsidRDefault="003E4863" w:rsidP="003E486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Academic Senate </w:t>
      </w:r>
    </w:p>
    <w:p w:rsidR="003E4863" w:rsidRDefault="003E4863" w:rsidP="003E486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Elected officers</w:t>
      </w:r>
    </w:p>
    <w:p w:rsidR="003E4863" w:rsidRDefault="003E4863" w:rsidP="003E486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AS Council members of elected department reps</w:t>
      </w:r>
    </w:p>
    <w:p w:rsidR="003E4863" w:rsidRDefault="003E4863" w:rsidP="003E486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8 standing committees</w:t>
      </w:r>
    </w:p>
    <w:p w:rsidR="002C207B" w:rsidRDefault="002C207B" w:rsidP="002C207B">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Curriculum, DE, </w:t>
      </w:r>
      <w:proofErr w:type="spellStart"/>
      <w:r>
        <w:rPr>
          <w:rFonts w:ascii="Times New Roman" w:hAnsi="Times New Roman" w:cs="Times New Roman"/>
          <w:sz w:val="24"/>
          <w:szCs w:val="24"/>
        </w:rPr>
        <w:t>EdCAP</w:t>
      </w:r>
      <w:proofErr w:type="spellEnd"/>
      <w:r>
        <w:rPr>
          <w:rFonts w:ascii="Times New Roman" w:hAnsi="Times New Roman" w:cs="Times New Roman"/>
          <w:sz w:val="24"/>
          <w:szCs w:val="24"/>
        </w:rPr>
        <w:t>, Fiscal, FTCAP, PD, SEA, SLO</w:t>
      </w:r>
    </w:p>
    <w:p w:rsidR="008F3BDE" w:rsidRDefault="008F3BDE" w:rsidP="008F3BD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Largely spelled out in the following documents:</w:t>
      </w:r>
    </w:p>
    <w:p w:rsidR="008F3BDE" w:rsidRDefault="008F3BDE" w:rsidP="008F3BD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Constitution</w:t>
      </w:r>
    </w:p>
    <w:p w:rsidR="008F3BDE" w:rsidRDefault="008F3BDE" w:rsidP="008F3BD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By-laws</w:t>
      </w:r>
    </w:p>
    <w:p w:rsidR="008F3BDE" w:rsidRPr="001329AC" w:rsidRDefault="005D3F01" w:rsidP="008F3BDE">
      <w:pPr>
        <w:pStyle w:val="ListParagraph"/>
        <w:numPr>
          <w:ilvl w:val="2"/>
          <w:numId w:val="1"/>
        </w:numPr>
        <w:rPr>
          <w:rFonts w:ascii="Times New Roman" w:hAnsi="Times New Roman" w:cs="Times New Roman"/>
          <w:color w:val="0070C0"/>
          <w:sz w:val="24"/>
          <w:szCs w:val="24"/>
        </w:rPr>
      </w:pPr>
      <w:r w:rsidRPr="001329AC">
        <w:rPr>
          <w:rFonts w:ascii="Times New Roman" w:hAnsi="Times New Roman" w:cs="Times New Roman"/>
          <w:color w:val="0070C0"/>
          <w:sz w:val="24"/>
          <w:szCs w:val="24"/>
        </w:rPr>
        <w:t>Making Decisions Handbook</w:t>
      </w:r>
    </w:p>
    <w:p w:rsidR="00C41959" w:rsidRDefault="00C41959" w:rsidP="001D088B">
      <w:pPr>
        <w:pStyle w:val="Heading1"/>
      </w:pPr>
      <w:r>
        <w:t>Participatory governance at the district level</w:t>
      </w:r>
    </w:p>
    <w:p w:rsidR="00C41959" w:rsidRDefault="00C41959" w:rsidP="00C4195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Various committees </w:t>
      </w:r>
    </w:p>
    <w:p w:rsidR="00C41959" w:rsidRDefault="00C41959" w:rsidP="00C4195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And the aptly named “board meetings”</w:t>
      </w:r>
    </w:p>
    <w:p w:rsidR="00492D59" w:rsidRDefault="00492D59" w:rsidP="001D088B">
      <w:pPr>
        <w:pStyle w:val="Heading1"/>
      </w:pPr>
      <w:r w:rsidRPr="00492D59">
        <w:t>We are a recommending body</w:t>
      </w:r>
      <w:r w:rsidR="005C222C">
        <w:t xml:space="preserve"> (often forgotten)</w:t>
      </w:r>
    </w:p>
    <w:p w:rsidR="00F35BDD" w:rsidRPr="00E41E1A" w:rsidRDefault="001702F1" w:rsidP="00F35BDD">
      <w:pPr>
        <w:pStyle w:val="ListParagraph"/>
        <w:numPr>
          <w:ilvl w:val="1"/>
          <w:numId w:val="1"/>
        </w:numPr>
        <w:rPr>
          <w:rFonts w:ascii="Times New Roman" w:hAnsi="Times New Roman" w:cs="Times New Roman"/>
          <w:color w:val="CC0000"/>
          <w:sz w:val="24"/>
          <w:szCs w:val="24"/>
        </w:rPr>
      </w:pPr>
      <w:r w:rsidRPr="00E41E1A">
        <w:rPr>
          <w:rFonts w:ascii="Times New Roman" w:hAnsi="Times New Roman" w:cs="Times New Roman"/>
          <w:color w:val="CC0000"/>
          <w:sz w:val="24"/>
          <w:szCs w:val="24"/>
        </w:rPr>
        <w:t>Effectiveness</w:t>
      </w:r>
      <w:r w:rsidR="00F35BDD" w:rsidRPr="00E41E1A">
        <w:rPr>
          <w:rFonts w:ascii="Times New Roman" w:hAnsi="Times New Roman" w:cs="Times New Roman"/>
          <w:color w:val="CC0000"/>
          <w:sz w:val="24"/>
          <w:szCs w:val="24"/>
        </w:rPr>
        <w:t xml:space="preserve"> rests on building relationships</w:t>
      </w:r>
    </w:p>
    <w:p w:rsidR="005A7C75" w:rsidRPr="005A7C75" w:rsidRDefault="00273EA4" w:rsidP="001D088B">
      <w:pPr>
        <w:pStyle w:val="Heading1"/>
      </w:pPr>
      <w:r>
        <w:t>All of this is u</w:t>
      </w:r>
      <w:r w:rsidR="005A7C75" w:rsidRPr="005A7C75">
        <w:t>nique to California</w:t>
      </w:r>
    </w:p>
    <w:p w:rsidR="00E76FA8" w:rsidRDefault="00E76FA8" w:rsidP="00E76FA8">
      <w:pPr>
        <w:pStyle w:val="Heading1"/>
      </w:pPr>
      <w:r>
        <w:t>Legislative bodies</w:t>
      </w:r>
    </w:p>
    <w:p w:rsidR="00B712E7" w:rsidRPr="00B712E7" w:rsidRDefault="00B712E7" w:rsidP="00B712E7">
      <w:pPr>
        <w:pStyle w:val="ListParagraph"/>
        <w:numPr>
          <w:ilvl w:val="1"/>
          <w:numId w:val="1"/>
        </w:numPr>
        <w:rPr>
          <w:rFonts w:ascii="Times New Roman" w:hAnsi="Times New Roman" w:cs="Times New Roman"/>
          <w:sz w:val="24"/>
          <w:szCs w:val="24"/>
        </w:rPr>
      </w:pPr>
      <w:r w:rsidRPr="00B712E7">
        <w:rPr>
          <w:rFonts w:ascii="Times New Roman" w:hAnsi="Times New Roman" w:cs="Times New Roman"/>
          <w:sz w:val="24"/>
          <w:szCs w:val="24"/>
        </w:rPr>
        <w:t xml:space="preserve">Senate and its standing committees, the board, etc. are </w:t>
      </w:r>
      <w:r w:rsidRPr="00B712E7">
        <w:rPr>
          <w:rFonts w:ascii="Times New Roman" w:hAnsi="Times New Roman" w:cs="Times New Roman"/>
          <w:color w:val="0070C0"/>
          <w:sz w:val="24"/>
          <w:szCs w:val="24"/>
        </w:rPr>
        <w:t xml:space="preserve">legislative bodies </w:t>
      </w:r>
      <w:r w:rsidRPr="00B712E7">
        <w:rPr>
          <w:rFonts w:ascii="Times New Roman" w:hAnsi="Times New Roman" w:cs="Times New Roman"/>
          <w:sz w:val="24"/>
          <w:szCs w:val="24"/>
        </w:rPr>
        <w:t>(created by state statute) and therefore subject to the Brown Act</w:t>
      </w:r>
    </w:p>
    <w:p w:rsidR="0099500A" w:rsidRPr="00AB73E9" w:rsidRDefault="0099500A" w:rsidP="00AB73E9">
      <w:pPr>
        <w:rPr>
          <w:rFonts w:ascii="Times New Roman" w:hAnsi="Times New Roman" w:cs="Times New Roman"/>
          <w:sz w:val="24"/>
          <w:szCs w:val="24"/>
        </w:rPr>
      </w:pPr>
    </w:p>
    <w:sectPr w:rsidR="0099500A" w:rsidRPr="00AB7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813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1176C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43A5B4C"/>
    <w:multiLevelType w:val="multilevel"/>
    <w:tmpl w:val="659EFC52"/>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49"/>
    <w:rsid w:val="000075F7"/>
    <w:rsid w:val="000077EC"/>
    <w:rsid w:val="00045A3B"/>
    <w:rsid w:val="00062BDC"/>
    <w:rsid w:val="000B5549"/>
    <w:rsid w:val="001329AC"/>
    <w:rsid w:val="00143B7D"/>
    <w:rsid w:val="00145896"/>
    <w:rsid w:val="001702F1"/>
    <w:rsid w:val="001709F1"/>
    <w:rsid w:val="00184CAA"/>
    <w:rsid w:val="001D088B"/>
    <w:rsid w:val="00273EA4"/>
    <w:rsid w:val="00274856"/>
    <w:rsid w:val="002C207B"/>
    <w:rsid w:val="002F7F41"/>
    <w:rsid w:val="00333C65"/>
    <w:rsid w:val="003424B8"/>
    <w:rsid w:val="003710EE"/>
    <w:rsid w:val="003E4863"/>
    <w:rsid w:val="003F417F"/>
    <w:rsid w:val="00414B63"/>
    <w:rsid w:val="00492D59"/>
    <w:rsid w:val="004A1078"/>
    <w:rsid w:val="00512BCD"/>
    <w:rsid w:val="00553296"/>
    <w:rsid w:val="0055738A"/>
    <w:rsid w:val="005612F7"/>
    <w:rsid w:val="00596A4D"/>
    <w:rsid w:val="005A7C75"/>
    <w:rsid w:val="005A7DA2"/>
    <w:rsid w:val="005C222C"/>
    <w:rsid w:val="005D3F01"/>
    <w:rsid w:val="005F7198"/>
    <w:rsid w:val="00775B9E"/>
    <w:rsid w:val="00870AD2"/>
    <w:rsid w:val="00874450"/>
    <w:rsid w:val="00892947"/>
    <w:rsid w:val="008F3BDE"/>
    <w:rsid w:val="0099500A"/>
    <w:rsid w:val="009A6B3A"/>
    <w:rsid w:val="009B64B2"/>
    <w:rsid w:val="009C056E"/>
    <w:rsid w:val="00A06042"/>
    <w:rsid w:val="00A21C9B"/>
    <w:rsid w:val="00A730D1"/>
    <w:rsid w:val="00AB73E9"/>
    <w:rsid w:val="00AD39D8"/>
    <w:rsid w:val="00B712E7"/>
    <w:rsid w:val="00B9226E"/>
    <w:rsid w:val="00B950A1"/>
    <w:rsid w:val="00BF4C79"/>
    <w:rsid w:val="00C30CFB"/>
    <w:rsid w:val="00C3548F"/>
    <w:rsid w:val="00C41959"/>
    <w:rsid w:val="00C44C57"/>
    <w:rsid w:val="00CE621D"/>
    <w:rsid w:val="00D44627"/>
    <w:rsid w:val="00DE611D"/>
    <w:rsid w:val="00DF03EA"/>
    <w:rsid w:val="00E41E1A"/>
    <w:rsid w:val="00E5045C"/>
    <w:rsid w:val="00E76FA8"/>
    <w:rsid w:val="00E905D2"/>
    <w:rsid w:val="00EE5643"/>
    <w:rsid w:val="00EF3B30"/>
    <w:rsid w:val="00F35BDD"/>
    <w:rsid w:val="00FC5136"/>
    <w:rsid w:val="00FF3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5CB98-ABF4-4278-8054-D9C98A60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088B"/>
    <w:pPr>
      <w:keepNext/>
      <w:keepLines/>
      <w:numPr>
        <w:numId w:val="1"/>
      </w:numPr>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49"/>
    <w:pPr>
      <w:ind w:left="720"/>
      <w:contextualSpacing/>
    </w:pPr>
  </w:style>
  <w:style w:type="character" w:styleId="PlaceholderText">
    <w:name w:val="Placeholder Text"/>
    <w:basedOn w:val="DefaultParagraphFont"/>
    <w:uiPriority w:val="99"/>
    <w:semiHidden/>
    <w:rsid w:val="00274856"/>
    <w:rPr>
      <w:color w:val="808080"/>
    </w:rPr>
  </w:style>
  <w:style w:type="paragraph" w:styleId="Title">
    <w:name w:val="Title"/>
    <w:basedOn w:val="Normal"/>
    <w:next w:val="Normal"/>
    <w:link w:val="TitleChar"/>
    <w:uiPriority w:val="10"/>
    <w:qFormat/>
    <w:rsid w:val="001D088B"/>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1D088B"/>
    <w:rPr>
      <w:rFonts w:ascii="Times New Roman" w:eastAsiaTheme="majorEastAsia" w:hAnsi="Times New Roman" w:cstheme="majorBidi"/>
      <w:b/>
      <w:spacing w:val="-10"/>
      <w:kern w:val="28"/>
      <w:sz w:val="24"/>
      <w:szCs w:val="56"/>
    </w:rPr>
  </w:style>
  <w:style w:type="character" w:customStyle="1" w:styleId="Heading1Char">
    <w:name w:val="Heading 1 Char"/>
    <w:basedOn w:val="DefaultParagraphFont"/>
    <w:link w:val="Heading1"/>
    <w:uiPriority w:val="9"/>
    <w:rsid w:val="001D088B"/>
    <w:rPr>
      <w:rFonts w:ascii="Times New Roman" w:eastAsiaTheme="majorEastAsia" w:hAnsi="Times New Roman" w:cstheme="majorBidi"/>
      <w:sz w:val="24"/>
      <w:szCs w:val="32"/>
    </w:rPr>
  </w:style>
  <w:style w:type="character" w:styleId="Hyperlink">
    <w:name w:val="Hyperlink"/>
    <w:basedOn w:val="DefaultParagraphFont"/>
    <w:uiPriority w:val="99"/>
    <w:unhideWhenUsed/>
    <w:rsid w:val="00184C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264342">
      <w:bodyDiv w:val="1"/>
      <w:marLeft w:val="0"/>
      <w:marRight w:val="0"/>
      <w:marTop w:val="0"/>
      <w:marBottom w:val="0"/>
      <w:divBdr>
        <w:top w:val="none" w:sz="0" w:space="0" w:color="auto"/>
        <w:left w:val="none" w:sz="0" w:space="0" w:color="auto"/>
        <w:bottom w:val="none" w:sz="0" w:space="0" w:color="auto"/>
        <w:right w:val="none" w:sz="0" w:space="0" w:color="auto"/>
      </w:divBdr>
      <w:divsChild>
        <w:div w:id="1451976572">
          <w:marLeft w:val="0"/>
          <w:marRight w:val="0"/>
          <w:marTop w:val="240"/>
          <w:marBottom w:val="0"/>
          <w:divBdr>
            <w:top w:val="none" w:sz="0" w:space="0" w:color="auto"/>
            <w:left w:val="none" w:sz="0" w:space="0" w:color="auto"/>
            <w:bottom w:val="none" w:sz="0" w:space="0" w:color="auto"/>
            <w:right w:val="none" w:sz="0" w:space="0" w:color="auto"/>
          </w:divBdr>
          <w:divsChild>
            <w:div w:id="1031537299">
              <w:marLeft w:val="0"/>
              <w:marRight w:val="0"/>
              <w:marTop w:val="0"/>
              <w:marBottom w:val="0"/>
              <w:divBdr>
                <w:top w:val="none" w:sz="0" w:space="0" w:color="auto"/>
                <w:left w:val="none" w:sz="0" w:space="0" w:color="auto"/>
                <w:bottom w:val="none" w:sz="0" w:space="0" w:color="auto"/>
                <w:right w:val="none" w:sz="0" w:space="0" w:color="auto"/>
              </w:divBdr>
              <w:divsChild>
                <w:div w:id="3451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90843">
          <w:marLeft w:val="0"/>
          <w:marRight w:val="0"/>
          <w:marTop w:val="240"/>
          <w:marBottom w:val="0"/>
          <w:divBdr>
            <w:top w:val="none" w:sz="0" w:space="0" w:color="auto"/>
            <w:left w:val="none" w:sz="0" w:space="0" w:color="auto"/>
            <w:bottom w:val="none" w:sz="0" w:space="0" w:color="auto"/>
            <w:right w:val="none" w:sz="0" w:space="0" w:color="auto"/>
          </w:divBdr>
          <w:divsChild>
            <w:div w:id="1910187523">
              <w:marLeft w:val="0"/>
              <w:marRight w:val="0"/>
              <w:marTop w:val="0"/>
              <w:marBottom w:val="0"/>
              <w:divBdr>
                <w:top w:val="none" w:sz="0" w:space="0" w:color="auto"/>
                <w:left w:val="none" w:sz="0" w:space="0" w:color="auto"/>
                <w:bottom w:val="none" w:sz="0" w:space="0" w:color="auto"/>
                <w:right w:val="none" w:sz="0" w:space="0" w:color="auto"/>
              </w:divBdr>
              <w:divsChild>
                <w:div w:id="6554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vt.westlaw.com/calregs/Document/I6EED7180D48411DEBC02831C6D6C108E?viewType=FullText&amp;originationContext=documenttoc&amp;transitionType=CategoryPageItem&amp;contextData=(sc.Defa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Erik Reese</cp:lastModifiedBy>
  <cp:revision>64</cp:revision>
  <dcterms:created xsi:type="dcterms:W3CDTF">2019-08-14T05:10:00Z</dcterms:created>
  <dcterms:modified xsi:type="dcterms:W3CDTF">2019-10-21T02:21:00Z</dcterms:modified>
</cp:coreProperties>
</file>